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_GBK" w:cs="Times New Roman"/>
          <w:color w:val="FF0000"/>
          <w:sz w:val="40"/>
          <w:szCs w:val="40"/>
          <w:highlight w:val="none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highlight w:val="none"/>
        </w:rPr>
        <w:t>应聘人员登记表</w:t>
      </w:r>
    </w:p>
    <w:tbl>
      <w:tblPr>
        <w:tblStyle w:val="10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57"/>
        <w:gridCol w:w="435"/>
        <w:gridCol w:w="323"/>
        <w:gridCol w:w="622"/>
        <w:gridCol w:w="750"/>
        <w:gridCol w:w="720"/>
        <w:gridCol w:w="1200"/>
        <w:gridCol w:w="540"/>
        <w:gridCol w:w="409"/>
        <w:gridCol w:w="30"/>
        <w:gridCol w:w="120"/>
        <w:gridCol w:w="191"/>
        <w:gridCol w:w="750"/>
        <w:gridCol w:w="358"/>
        <w:gridCol w:w="81"/>
        <w:gridCol w:w="15"/>
        <w:gridCol w:w="195"/>
        <w:gridCol w:w="7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应聘岗位</w:t>
            </w:r>
          </w:p>
        </w:tc>
        <w:tc>
          <w:tcPr>
            <w:tcW w:w="9088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4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4688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4688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体重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w w:val="8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w w:val="80"/>
                <w:sz w:val="24"/>
                <w:szCs w:val="24"/>
                <w:highlight w:val="none"/>
              </w:rPr>
              <w:t>重大病史及手术记录</w:t>
            </w:r>
          </w:p>
        </w:tc>
        <w:tc>
          <w:tcPr>
            <w:tcW w:w="348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w w:val="80"/>
                <w:sz w:val="24"/>
                <w:szCs w:val="24"/>
                <w:highlight w:val="none"/>
              </w:rPr>
              <w:t>身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份证号码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04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紧急联系人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及电话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489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学习经历（从高中开始）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毕业学校名称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（全日制/在职）</w:t>
            </w: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就读时间（起止年月）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89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其他职称、专业资格认证、曾经获奖情况等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0489" w:type="dxa"/>
            <w:gridSpan w:val="20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89" w:type="dxa"/>
            <w:gridSpan w:val="2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424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担任职位</w:t>
            </w:r>
          </w:p>
        </w:tc>
        <w:tc>
          <w:tcPr>
            <w:tcW w:w="297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主要职责及业绩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离职原因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收入状况</w:t>
            </w:r>
          </w:p>
        </w:tc>
        <w:tc>
          <w:tcPr>
            <w:tcW w:w="424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证明人 /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4271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担任职位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主要职责及业绩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离职原因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收入状况</w:t>
            </w:r>
          </w:p>
        </w:tc>
        <w:tc>
          <w:tcPr>
            <w:tcW w:w="439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证明人 /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7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4271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担任职位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主要职责及业绩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离职原因</w:t>
            </w:r>
          </w:p>
        </w:tc>
        <w:tc>
          <w:tcPr>
            <w:tcW w:w="8765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收入状况</w:t>
            </w:r>
          </w:p>
        </w:tc>
        <w:tc>
          <w:tcPr>
            <w:tcW w:w="42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证明人 /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7" w:gutter="0"/>
          <w:pgNumType w:fmt="decimal"/>
          <w:cols w:space="720" w:num="1"/>
          <w:docGrid w:type="lines" w:linePitch="312" w:charSpace="0"/>
        </w:sect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附件2</w:t>
      </w:r>
    </w:p>
    <w:tbl>
      <w:tblPr>
        <w:tblStyle w:val="10"/>
        <w:tblpPr w:leftFromText="181" w:rightFromText="181" w:bottomFromText="397" w:vertAnchor="text" w:horzAnchor="page" w:tblpXSpec="center" w:tblpY="341"/>
        <w:tblOverlap w:val="never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0" w:type="dxa"/>
          <w:right w:w="108" w:type="dxa"/>
        </w:tblCellMar>
      </w:tblPr>
      <w:tblGrid>
        <w:gridCol w:w="1266"/>
        <w:gridCol w:w="1557"/>
        <w:gridCol w:w="4876"/>
        <w:gridCol w:w="520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  <w:t>部门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  <w:t>（人数）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</w:rPr>
              <w:t>任职要求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</w:rPr>
              <w:t>岗位职责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  <w:t>薪酬</w:t>
            </w:r>
          </w:p>
          <w:p>
            <w:pPr>
              <w:spacing w:line="320" w:lineRule="exact"/>
              <w:jc w:val="center"/>
              <w:rPr>
                <w:rFonts w:hint="eastAsia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sz w:val="30"/>
                <w:szCs w:val="30"/>
                <w:highlight w:val="none"/>
                <w:lang w:eastAsia="zh-CN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（安全管理部）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汉语言文学、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秘书学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行政管理等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担任过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市属一级国企及以上或党政事业单位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综合管理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中层正职（或副职工作2年及以上）的，可将学历放宽至非全日制本科;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行政管理工作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经验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，5年以上行政部门负责人同等岗位经验，文字功底深厚，公文写作能力强;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.精通行政管理事务，擅长制定行政管理体系及规范制度，具备良好的商务活动组织接待能力及协调沟通能力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中共党员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1.全面负责部门日常管理工作，贯彻落实公司党委会、董事会、经理层决议和上级指示；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2.负责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</w:rPr>
              <w:t>制定和完善公司内部的管理体系和各项管理制度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</w:rPr>
              <w:t>督促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</w:rPr>
              <w:t>有效执行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协调各方面工作关系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eastAsia="zh-CN"/>
              </w:rPr>
              <w:t>.负责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统筹公司机关后勤保障、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eastAsia="zh-CN"/>
              </w:rPr>
              <w:t>行政事务管理及信访接待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eastAsia="zh-CN"/>
              </w:rPr>
              <w:t>.负责公司重要文件起草及审核，统筹会务筹办、目标督办、机要、档案管理工作；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</w:rPr>
              <w:t>.完成领导交办的其它任务。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1.1W-1.9W(特别优秀的薪酬可面谈）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财务管理部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经理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（1人）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1.本科及以上学历，会计学、财务管理、金融学等相关专业，须拥有注册会计师、注册税务师、高级会计师的资格或职称之一；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2.具有10年以上财务、融资等工作经验，担任市属一级国企及以上、大型民营企业财务部门负责人3年以上，或3年以上类似岗位经验；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3.熟悉财务管理、成本、预算、资金管理、融资、税务筹划等相关知识与工作流程；具有较强的成本管理、风险控制和财务分析能力。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2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1.全面负责部门的日常管理工作；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2.组织制定财务方面的管理制度及有关规定，并监督执行；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3.负责公司年度预算编制工作，对财务预算完成情况进行跟踪分析，为领导决策提供有效的数据信息；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4.参与公司年度经营计划的制定、分解，对执行情况进行监督检查，定期对公司进行财务状况、财务风险分析；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5.做好公司融资、资金的管理和调度等工作，并对各项工作完成的及时性、准确性负责；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</w:rPr>
              <w:t>完成领导交办的其他任务。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1.1W-1.9W(特别优秀的薪酬可面谈）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人力资源部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薪酬绩效专员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人力资源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、行政管理等相关专业；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有2年以上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人事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.熟悉人力资源相关知识，了解劳动法；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.中共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党员，有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党政事业单位、国企工作经历的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优先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配合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上级领导不断优化和调整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绩效考核制度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并组织实施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，确保绩效考核工作的公正性和激励性；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组织开展绩效沟通和辅导、评价工作，推动各部门开展绩效考核工作，促进绩效改善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.负责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公司人事信息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的收集、汇总、统计及上报工作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.负责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员工薪资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福利、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人工成本核算、工资总额等工作；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.完成领导交办的其他任务。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0.5W-0.8W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财务管理部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融资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专员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1.全日制本科及以上学历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会计学、财务管理、金融学等相关专业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2.具有金融、财务投融资相关岗位工作经验2年及以上；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3.取得初级会计师、证券从业资格等证书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，中级会计师优先。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负责制定融资制度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及计划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，根据集团及子公司资金需求统筹融资工作开展；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负责维护、开拓多元化融资渠道，推进融资项目；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负责收集、汇总集团公司各项需对外提供的融资资料，编制完善对外融资所需的报表数据、报告、说明等资料；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办理融资所需抵押、担保、资产评估等手续；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负责收集融资信息，对比融资成本、条件，控制资金使用成本；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负责配合完成金融机构的贷后监管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及融资渠道维护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0.5W-0.8W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审计风控部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法务专员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1.全日制本科及以上学历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专业；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.具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2年以上法务、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审计风控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良好的组织协调能力和沟通能力，良好的文字和口头表达能力，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能够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独立撰写报告、制度、合同，进行合法合规性审核；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4.中共党员、有法律职业资格证书、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有国企或律师事务所工作经历的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1.负责公司日常法律事务，开展合同、制度的合法合规性审查；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2.负责公司普法知识宣传、风控信息、常规报告、报表填报等工作；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3.负责合同的归档、查询以及电子档案的建立与维护等合同档案管理工作；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4.为公司重要经济活动、各类合同等提供法律支持、咨询、审查和法律意见。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完成领导交办的其他任务。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0.5W-0.8W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投资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发展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部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投资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管理专员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金融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、经济学、工程造价、工程管理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、城乡规划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等相关专业；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具备2年及以上项目投资经验，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熟悉景区或文化旅游项目投资管理，有文旅行业研究或战略咨询项目相关经验；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一定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公文写作能力，良好的综合素质及沟通技巧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拥有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注册咨询工程师（投资）、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拥有一定的行业资源及项目获取能力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优先。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20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0"/>
                <w:szCs w:val="0"/>
                <w:shd w:val="clear" w:fill="FFFFFF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负责项目投资立项研究，并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开展尽职调查、投资协议、投资决策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文件拟写工作；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.参与审核集团公司建设项目规划方案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 w:firstLine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项目管理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跟进项目落地，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协助部门负责人进行项目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节点控制；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完成领导交办的其他任务。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0.5W-0.8W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市纪委监委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派驻纪检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监察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组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监察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员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17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Cs w:val="24"/>
                <w:highlight w:val="none"/>
                <w:lang w:eastAsia="zh-CN"/>
              </w:rPr>
              <w:t>（项目审计）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工程造价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工程审计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及工程管理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相关专业；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2年以上工程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预算、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投资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控制、结算、审计等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熟悉招采管理、合同管理、造价管理、施工管理相关知识及企业内控制度和流程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具有较强的沟通协调能力、风险管控、合规意识、资料收集及研究分析能力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优秀的沟通协调能力以及文字功底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中共党员优先。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1.制定年度审计计划，拟定审计方案，进行公司项目的审计，完成审计报告；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对项目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全过程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投资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进行监督控制及结算进行审计；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负责招采、投资、工程等业务板块全面审计工作，核实程序的合规性、工程计价的真实性及准确性，审计投资控制中存在的问题，并提出改进建议；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3.完成领导交办的其他任务。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0.5W-0.8W</w:t>
            </w:r>
          </w:p>
        </w:tc>
      </w:tr>
    </w:tbl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5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F0331"/>
    <w:rsid w:val="023F29AF"/>
    <w:rsid w:val="0257402D"/>
    <w:rsid w:val="0317020C"/>
    <w:rsid w:val="044D7031"/>
    <w:rsid w:val="05693D6F"/>
    <w:rsid w:val="05DE53A9"/>
    <w:rsid w:val="06476F6F"/>
    <w:rsid w:val="092833BF"/>
    <w:rsid w:val="0A8F07EB"/>
    <w:rsid w:val="0B213B0B"/>
    <w:rsid w:val="0B231BD5"/>
    <w:rsid w:val="0B471ED8"/>
    <w:rsid w:val="0BE4243A"/>
    <w:rsid w:val="0BE8359B"/>
    <w:rsid w:val="0D3B5931"/>
    <w:rsid w:val="0F935E89"/>
    <w:rsid w:val="0FFA7496"/>
    <w:rsid w:val="11B73F00"/>
    <w:rsid w:val="15BA6FA8"/>
    <w:rsid w:val="161B25AF"/>
    <w:rsid w:val="183E0548"/>
    <w:rsid w:val="191F5435"/>
    <w:rsid w:val="19906C22"/>
    <w:rsid w:val="1A050294"/>
    <w:rsid w:val="1CDC0A16"/>
    <w:rsid w:val="1FB8286B"/>
    <w:rsid w:val="1FC760B7"/>
    <w:rsid w:val="221C1247"/>
    <w:rsid w:val="22833B27"/>
    <w:rsid w:val="231B060D"/>
    <w:rsid w:val="23F33314"/>
    <w:rsid w:val="24EA2ABC"/>
    <w:rsid w:val="263148FA"/>
    <w:rsid w:val="2691202D"/>
    <w:rsid w:val="26F84B9A"/>
    <w:rsid w:val="271E2FD4"/>
    <w:rsid w:val="277E39F9"/>
    <w:rsid w:val="298172A9"/>
    <w:rsid w:val="29AE318C"/>
    <w:rsid w:val="2AC87CB0"/>
    <w:rsid w:val="2B584F6F"/>
    <w:rsid w:val="2DA26FBD"/>
    <w:rsid w:val="2DA36AC8"/>
    <w:rsid w:val="2DC422FA"/>
    <w:rsid w:val="30E56F0B"/>
    <w:rsid w:val="31803EC0"/>
    <w:rsid w:val="32C738B0"/>
    <w:rsid w:val="32D41658"/>
    <w:rsid w:val="330400A4"/>
    <w:rsid w:val="349E4070"/>
    <w:rsid w:val="34E471C2"/>
    <w:rsid w:val="35591FFE"/>
    <w:rsid w:val="357152B8"/>
    <w:rsid w:val="375B3776"/>
    <w:rsid w:val="37AD6F84"/>
    <w:rsid w:val="3832357F"/>
    <w:rsid w:val="3A9027B8"/>
    <w:rsid w:val="3B7662C2"/>
    <w:rsid w:val="3B800C52"/>
    <w:rsid w:val="3C2705D5"/>
    <w:rsid w:val="3D7B74D1"/>
    <w:rsid w:val="3F105C55"/>
    <w:rsid w:val="3F6E649F"/>
    <w:rsid w:val="3FA2017A"/>
    <w:rsid w:val="3FCB18A6"/>
    <w:rsid w:val="3FD37353"/>
    <w:rsid w:val="40587C24"/>
    <w:rsid w:val="41975C66"/>
    <w:rsid w:val="42F77A4B"/>
    <w:rsid w:val="46490636"/>
    <w:rsid w:val="48DF646B"/>
    <w:rsid w:val="49D445A5"/>
    <w:rsid w:val="4B84449F"/>
    <w:rsid w:val="4BA50F4C"/>
    <w:rsid w:val="4BC453CA"/>
    <w:rsid w:val="4CD94A1E"/>
    <w:rsid w:val="4CF9210B"/>
    <w:rsid w:val="4DA825BF"/>
    <w:rsid w:val="4DCE5459"/>
    <w:rsid w:val="4E2B24E0"/>
    <w:rsid w:val="4E5E40DD"/>
    <w:rsid w:val="4F87384C"/>
    <w:rsid w:val="524E2B5D"/>
    <w:rsid w:val="528B199E"/>
    <w:rsid w:val="53FF2557"/>
    <w:rsid w:val="55CD3FA6"/>
    <w:rsid w:val="565A28E7"/>
    <w:rsid w:val="56AF37E9"/>
    <w:rsid w:val="56FC0479"/>
    <w:rsid w:val="572E0BF0"/>
    <w:rsid w:val="580B2AF9"/>
    <w:rsid w:val="59386DA5"/>
    <w:rsid w:val="59AA10B5"/>
    <w:rsid w:val="5AB106B4"/>
    <w:rsid w:val="5F0B2DB7"/>
    <w:rsid w:val="63BB6E7C"/>
    <w:rsid w:val="64DB2B27"/>
    <w:rsid w:val="64E5026E"/>
    <w:rsid w:val="67B36248"/>
    <w:rsid w:val="682607BF"/>
    <w:rsid w:val="69F278A9"/>
    <w:rsid w:val="6A0208CE"/>
    <w:rsid w:val="6A5E2657"/>
    <w:rsid w:val="6A9E3C27"/>
    <w:rsid w:val="6BC011C5"/>
    <w:rsid w:val="6DA07003"/>
    <w:rsid w:val="6DBE70A2"/>
    <w:rsid w:val="6E447E5D"/>
    <w:rsid w:val="6E4B3470"/>
    <w:rsid w:val="6F4A6FEF"/>
    <w:rsid w:val="700C4CFB"/>
    <w:rsid w:val="70FF1674"/>
    <w:rsid w:val="74943CE9"/>
    <w:rsid w:val="74B026FD"/>
    <w:rsid w:val="758D0B20"/>
    <w:rsid w:val="77F84F92"/>
    <w:rsid w:val="78A1309A"/>
    <w:rsid w:val="78BD6989"/>
    <w:rsid w:val="7AFF691D"/>
    <w:rsid w:val="7CF51A93"/>
    <w:rsid w:val="7E8E7F21"/>
    <w:rsid w:val="7F2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方正仿宋_GBK" w:hAnsi="方正仿宋_GBK" w:eastAsia="方正仿宋_GBK" w:cs="方正仿宋_GBK"/>
      <w:kern w:val="0"/>
      <w:sz w:val="28"/>
      <w:szCs w:val="28"/>
      <w:lang w:val="zh-CN" w:bidi="zh-C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 2"/>
    <w:basedOn w:val="4"/>
    <w:qFormat/>
    <w:uiPriority w:val="0"/>
    <w:pPr>
      <w:spacing w:after="0"/>
      <w:ind w:firstLine="420" w:firstLineChars="200"/>
    </w:pPr>
    <w:rPr>
      <w:rFonts w:ascii="Calibri" w:hAnsi="Calibri" w:cs="黑体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600090"/>
      <w:u w:val="single"/>
    </w:rPr>
  </w:style>
  <w:style w:type="character" w:styleId="14">
    <w:name w:val="Hyperlink"/>
    <w:basedOn w:val="11"/>
    <w:qFormat/>
    <w:uiPriority w:val="0"/>
    <w:rPr>
      <w:color w:val="001BA0"/>
      <w:u w:val="single"/>
    </w:rPr>
  </w:style>
  <w:style w:type="character" w:styleId="15">
    <w:name w:val="HTML Cite"/>
    <w:basedOn w:val="11"/>
    <w:qFormat/>
    <w:uiPriority w:val="0"/>
    <w:rPr>
      <w:color w:val="006D21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</w:style>
  <w:style w:type="character" w:customStyle="1" w:styleId="17">
    <w:name w:val="pageid"/>
    <w:basedOn w:val="11"/>
    <w:qFormat/>
    <w:uiPriority w:val="0"/>
    <w:rPr>
      <w:b/>
      <w:color w:val="555555"/>
      <w:sz w:val="21"/>
      <w:szCs w:val="21"/>
      <w:bdr w:val="single" w:color="CCCCCC" w:sz="6" w:space="0"/>
      <w:shd w:val="clear" w:fill="F5F5F5"/>
    </w:rPr>
  </w:style>
  <w:style w:type="character" w:customStyle="1" w:styleId="18">
    <w:name w:val="tx-avatar"/>
    <w:basedOn w:val="11"/>
    <w:qFormat/>
    <w:uiPriority w:val="0"/>
  </w:style>
  <w:style w:type="character" w:customStyle="1" w:styleId="19">
    <w:name w:val="first-of-type"/>
    <w:basedOn w:val="11"/>
    <w:qFormat/>
    <w:uiPriority w:val="0"/>
  </w:style>
  <w:style w:type="character" w:customStyle="1" w:styleId="20">
    <w:name w:val="nth-of-type(2)"/>
    <w:basedOn w:val="11"/>
    <w:qFormat/>
    <w:uiPriority w:val="0"/>
  </w:style>
  <w:style w:type="character" w:customStyle="1" w:styleId="21">
    <w:name w:val="nth-of-type(2)1"/>
    <w:basedOn w:val="11"/>
    <w:qFormat/>
    <w:uiPriority w:val="0"/>
  </w:style>
  <w:style w:type="character" w:customStyle="1" w:styleId="22">
    <w:name w:val="nth-of-type(2)2"/>
    <w:basedOn w:val="11"/>
    <w:qFormat/>
    <w:uiPriority w:val="0"/>
  </w:style>
  <w:style w:type="character" w:customStyle="1" w:styleId="23">
    <w:name w:val="nth-of-type(2)3"/>
    <w:basedOn w:val="11"/>
    <w:qFormat/>
    <w:uiPriority w:val="0"/>
  </w:style>
  <w:style w:type="character" w:customStyle="1" w:styleId="24">
    <w:name w:val="nth-of-type(1)"/>
    <w:basedOn w:val="11"/>
    <w:qFormat/>
    <w:uiPriority w:val="0"/>
  </w:style>
  <w:style w:type="character" w:customStyle="1" w:styleId="25">
    <w:name w:val="nth-of-type(1)1"/>
    <w:basedOn w:val="11"/>
    <w:qFormat/>
    <w:uiPriority w:val="0"/>
  </w:style>
  <w:style w:type="character" w:customStyle="1" w:styleId="26">
    <w:name w:val="nth-of-type(1)2"/>
    <w:basedOn w:val="11"/>
    <w:qFormat/>
    <w:uiPriority w:val="0"/>
  </w:style>
  <w:style w:type="character" w:customStyle="1" w:styleId="27">
    <w:name w:val="before"/>
    <w:basedOn w:val="11"/>
    <w:qFormat/>
    <w:uiPriority w:val="0"/>
  </w:style>
  <w:style w:type="character" w:customStyle="1" w:styleId="28">
    <w:name w:val="before1"/>
    <w:basedOn w:val="11"/>
    <w:qFormat/>
    <w:uiPriority w:val="0"/>
    <w:rPr>
      <w:shd w:val="clear" w:fill="FFFFFF"/>
    </w:rPr>
  </w:style>
  <w:style w:type="character" w:customStyle="1" w:styleId="29">
    <w:name w:val="before2"/>
    <w:basedOn w:val="11"/>
    <w:qFormat/>
    <w:uiPriority w:val="0"/>
    <w:rPr>
      <w:color w:val="FFFFFF"/>
      <w:sz w:val="19"/>
      <w:szCs w:val="19"/>
    </w:rPr>
  </w:style>
  <w:style w:type="character" w:customStyle="1" w:styleId="30">
    <w:name w:val="before3"/>
    <w:basedOn w:val="11"/>
    <w:qFormat/>
    <w:uiPriority w:val="0"/>
    <w:rPr>
      <w:vanish/>
    </w:rPr>
  </w:style>
  <w:style w:type="character" w:customStyle="1" w:styleId="31">
    <w:name w:val="before4"/>
    <w:basedOn w:val="11"/>
    <w:qFormat/>
    <w:uiPriority w:val="0"/>
    <w:rPr>
      <w:vanish/>
    </w:rPr>
  </w:style>
  <w:style w:type="character" w:customStyle="1" w:styleId="32">
    <w:name w:val="before5"/>
    <w:basedOn w:val="11"/>
    <w:qFormat/>
    <w:uiPriority w:val="0"/>
  </w:style>
  <w:style w:type="character" w:customStyle="1" w:styleId="33">
    <w:name w:val="before6"/>
    <w:basedOn w:val="11"/>
    <w:qFormat/>
    <w:uiPriority w:val="0"/>
    <w:rPr>
      <w:vanish/>
    </w:rPr>
  </w:style>
  <w:style w:type="character" w:customStyle="1" w:styleId="34">
    <w:name w:val="before7"/>
    <w:basedOn w:val="11"/>
    <w:qFormat/>
    <w:uiPriority w:val="0"/>
  </w:style>
  <w:style w:type="character" w:customStyle="1" w:styleId="35">
    <w:name w:val="before8"/>
    <w:basedOn w:val="11"/>
    <w:qFormat/>
    <w:uiPriority w:val="0"/>
  </w:style>
  <w:style w:type="character" w:customStyle="1" w:styleId="36">
    <w:name w:val="before9"/>
    <w:basedOn w:val="11"/>
    <w:qFormat/>
    <w:uiPriority w:val="0"/>
    <w:rPr>
      <w:vanish/>
    </w:rPr>
  </w:style>
  <w:style w:type="character" w:customStyle="1" w:styleId="37">
    <w:name w:val="before10"/>
    <w:basedOn w:val="11"/>
    <w:qFormat/>
    <w:uiPriority w:val="0"/>
  </w:style>
  <w:style w:type="character" w:customStyle="1" w:styleId="38">
    <w:name w:val="before11"/>
    <w:basedOn w:val="11"/>
    <w:qFormat/>
    <w:uiPriority w:val="0"/>
    <w:rPr>
      <w:shd w:val="clear" w:fill="0299FF"/>
    </w:rPr>
  </w:style>
  <w:style w:type="character" w:customStyle="1" w:styleId="39">
    <w:name w:val="after"/>
    <w:basedOn w:val="11"/>
    <w:qFormat/>
    <w:uiPriority w:val="0"/>
    <w:rPr>
      <w:shd w:val="clear" w:fill="FFFFFF"/>
    </w:rPr>
  </w:style>
  <w:style w:type="character" w:customStyle="1" w:styleId="40">
    <w:name w:val="current"/>
    <w:basedOn w:val="11"/>
    <w:qFormat/>
    <w:uiPriority w:val="0"/>
    <w:rPr>
      <w:shd w:val="clear" w:fill="0299FF"/>
    </w:rPr>
  </w:style>
  <w:style w:type="character" w:customStyle="1" w:styleId="41">
    <w:name w:val="current1"/>
    <w:basedOn w:val="11"/>
    <w:qFormat/>
    <w:uiPriority w:val="0"/>
  </w:style>
  <w:style w:type="character" w:customStyle="1" w:styleId="42">
    <w:name w:val="last-child"/>
    <w:basedOn w:val="11"/>
    <w:qFormat/>
    <w:uiPriority w:val="0"/>
  </w:style>
  <w:style w:type="character" w:customStyle="1" w:styleId="43">
    <w:name w:val="pagetotal"/>
    <w:basedOn w:val="11"/>
    <w:qFormat/>
    <w:uiPriority w:val="0"/>
  </w:style>
  <w:style w:type="character" w:customStyle="1" w:styleId="44">
    <w:name w:val="bsharetext"/>
    <w:basedOn w:val="11"/>
    <w:qFormat/>
    <w:uiPriority w:val="0"/>
  </w:style>
  <w:style w:type="character" w:customStyle="1" w:styleId="45">
    <w:name w:val="hover4"/>
    <w:basedOn w:val="11"/>
    <w:qFormat/>
    <w:uiPriority w:val="0"/>
    <w:rPr>
      <w:color w:val="FFFFFF"/>
      <w:shd w:val="clear" w:fill="0299FF"/>
    </w:rPr>
  </w:style>
  <w:style w:type="character" w:customStyle="1" w:styleId="46">
    <w:name w:val="hover5"/>
    <w:basedOn w:val="11"/>
    <w:qFormat/>
    <w:uiPriority w:val="0"/>
    <w:rPr>
      <w:color w:val="FFFFFF"/>
      <w:shd w:val="clear" w:fill="0299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4490</Words>
  <Characters>4728</Characters>
  <Lines>0</Lines>
  <Paragraphs>0</Paragraphs>
  <TotalTime>5</TotalTime>
  <ScaleCrop>false</ScaleCrop>
  <LinksUpToDate>false</LinksUpToDate>
  <CharactersWithSpaces>4783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2021-11-04T08:39:00Z</dcterms:created>
  <dc:creator>dell</dc:creator>
  <cp:lastModifiedBy>Administrator</cp:lastModifiedBy>
  <cp:lastPrinted>2022-04-12T02:48:00Z</cp:lastPrinted>
  <dcterms:modified xsi:type="dcterms:W3CDTF">2022-04-14T01:36:23Z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3361AF08C59E4FBCAC15ABA94362CDCD</vt:lpwstr>
  </property>
</Properties>
</file>